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Segoe UI" w:hAnsi="Segoe UI" w:cs="Segoe UI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column">
              <wp:posOffset>165049</wp:posOffset>
            </wp:positionH>
            <wp:positionV relativeFrom="page">
              <wp:posOffset>848563</wp:posOffset>
            </wp:positionV>
            <wp:extent cx="2700020" cy="1104265"/>
            <wp:effectExtent l="0" t="0" r="5080" b="635"/>
            <wp:wrapSquare wrapText="bothSides"/>
            <wp:docPr id="3" name="Рисунок 3" descr="D:\Назаренко В\5. логотип\логотипы КК\Лого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азаренко В\5. логотип\логотипы КК\Лого (4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31" t="20089" r="9902" b="19643"/>
                    <a:stretch/>
                  </pic:blipFill>
                  <pic:spPr bwMode="auto">
                    <a:xfrm>
                      <a:off x="0" y="0"/>
                      <a:ext cx="2700020" cy="110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spacing w:after="0"/>
        <w:rPr>
          <w:rFonts w:ascii="Times New Roman" w:hAnsi="Times New Roman" w:cs="Times New Roman"/>
          <w:sz w:val="28"/>
        </w:rPr>
      </w:pPr>
    </w:p>
    <w:p>
      <w:pPr>
        <w:spacing w:after="0"/>
        <w:jc w:val="center"/>
        <w:rPr>
          <w:rFonts w:ascii="Times New Roman" w:hAnsi="Times New Roman" w:cs="Times New Roman"/>
          <w:sz w:val="28"/>
        </w:rPr>
      </w:pPr>
    </w:p>
    <w:p>
      <w:pPr>
        <w:spacing w:after="0"/>
        <w:jc w:val="right"/>
        <w:rPr>
          <w:rFonts w:ascii="Times New Roman" w:hAnsi="Times New Roman" w:cs="Times New Roman"/>
          <w:sz w:val="28"/>
        </w:rPr>
      </w:pPr>
    </w:p>
    <w:p>
      <w:pPr>
        <w:spacing w:after="0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ПРЕСС-РЕЛИЗ</w:t>
      </w:r>
      <w:r>
        <w:rPr>
          <w:rFonts w:ascii="Times New Roman" w:hAnsi="Times New Roman" w:cs="Times New Roman"/>
          <w:sz w:val="28"/>
        </w:rPr>
        <w:br w:type="textWrapping" w:clear="all"/>
      </w:r>
      <w:r>
        <w:rPr>
          <w:rFonts w:ascii="Times New Roman" w:hAnsi="Times New Roman" w:cs="Times New Roman"/>
          <w:b/>
          <w:sz w:val="28"/>
        </w:rPr>
        <w:br w:type="textWrapping" w:clear="all"/>
      </w:r>
    </w:p>
    <w:p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Росреестр зарегистрировал права на 161 тыс. ранее учтенных объектов недвижимости за три месяца реализации 518-ФЗ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С начала реализации Закона о выявлении ранее учтенных объектов недвижимости (с 29 июня 2021 года) по 1 октября 2021 года по заявлениям правообладателей зарегистрированы ранее возникшие права более чем на 161 тыс. таких объектов.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Кроме того, за III квартал в отношении более чем 500 объектов недвижимости внесены сведения о выявленных правообладателях, из ЕГРН исключены сведения более чем о 6 тыс. объектов недвижимости, прекративших свое существование в связи со сносом (гибелью, уничтожением).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Напомним, Федеральный закон от 30.12.2020 № 518-ФЗ «О внесении изменений в отдельные законодательные акты Российской Федерации» вступил в силу 29 июня 2021 года. Документ принят в целях повышения качества данных Единого государственного реестра недвижимости (ЕГРН), а также направлен на защиту прав и имущественных интересов граждан.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Как зарегистрировать права на ранее учтенный объект недвижимости?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Полномочиями по выявлению правообладателей наделены органы государственной власти и органы местного самоуправления. Они выявляют правообладателей ранее учтенных объектов недвижимости, в том числе путем межведомственного взаимодействия с иными органами, и направляют информацию в Росреестр для последующего внесения в ЕГРН.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Что должен делать правообладатель?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8"/>
        </w:rPr>
        <w:lastRenderedPageBreak/>
        <w:t>Никаких действий со стороны самих правообладателей не требуется. Однако правообладатели либо иные лица, чьи интересы могут быть затронуты, вправе самостоятельно предоставлять сведения о правообладателях ранее учтенных объектов недвижимости и соответствующие документы в органы государственной власти и органы местного самоуправления.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Для чего необходимо регистрировать права на ранее учтенный объект недвижимости?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Наличие в ЕГРН зарегистрированных прав граждан способствует защите их прав и имущественных интересов, в том числе от мошеннических действий с их имуществом, а также позволяет наполнить ЕГРН контактными данными правообладателей (адресов электронной почты, почтового адреса). Это позволит органу регистрации прав оперативно направить в адрес собственника различные уведомления, а также обеспечить согласование с правообладателями земельных участков местоположения границ смежных земельных участков, что поможет избежать возникновения земельных споров.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</w:rPr>
        <w:t>Справочно</w:t>
      </w:r>
      <w:proofErr w:type="spellEnd"/>
      <w:r>
        <w:rPr>
          <w:rFonts w:ascii="Times New Roman" w:hAnsi="Times New Roman" w:cs="Times New Roman"/>
          <w:b/>
          <w:bCs/>
          <w:sz w:val="28"/>
        </w:rPr>
        <w:t>: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Ранее учтенными объектами недвижимости считаются в том числе те, права на которые возникли до вступления в силу Федерального закона от 21 июля 1997 г. № 122-ФЗ «О государственной регистрации прав на недвижимое имущество и сделок с ним» и признаются юридически действительными при отсутствии их государственной регистрации. Причиной отсутствия в ЕГРН актуальных сведений о правообладателях объектов недвижимости является отсутствие в правоустанавливающих (</w:t>
      </w:r>
      <w:proofErr w:type="spellStart"/>
      <w:r>
        <w:rPr>
          <w:rFonts w:ascii="Times New Roman" w:hAnsi="Times New Roman" w:cs="Times New Roman"/>
          <w:bCs/>
          <w:sz w:val="28"/>
        </w:rPr>
        <w:t>правоудостоверяющих</w:t>
      </w:r>
      <w:proofErr w:type="spellEnd"/>
      <w:r>
        <w:rPr>
          <w:rFonts w:ascii="Times New Roman" w:hAnsi="Times New Roman" w:cs="Times New Roman"/>
          <w:bCs/>
          <w:sz w:val="28"/>
        </w:rPr>
        <w:t>) документах сведений о правообладателях в объеме, позволяющем однозначно определить владельца объекта (например, реквизиты документа, удостоверяющего личность), а также отсутствие волеизъявления правообладателя такого объекта на регистрацию прав на него.</w:t>
      </w:r>
    </w:p>
    <w:p>
      <w:pPr>
        <w:spacing w:after="120" w:line="36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______________________________________________________________________________________________________</w:t>
      </w:r>
    </w:p>
    <w:p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Пресс-служба Кадастровой палаты по Краснодарскому краю</w:t>
      </w:r>
    </w:p>
    <w:p>
      <w:pPr>
        <w:spacing w:after="0" w:line="240" w:lineRule="auto"/>
        <w:rPr>
          <w:rFonts w:ascii="Times New Roman" w:eastAsia="Times New Roman" w:hAnsi="Times New Roman" w:cs="Times New Roman"/>
          <w:color w:val="0563C1" w:themeColor="hyperlink"/>
          <w:u w:val="single"/>
          <w:lang w:eastAsia="ru-RU"/>
        </w:rPr>
      </w:pPr>
    </w:p>
    <w:tbl>
      <w:tblPr>
        <w:tblW w:w="10380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672"/>
        <w:gridCol w:w="4480"/>
      </w:tblGrid>
      <w:tr>
        <w:trPr>
          <w:jc w:val="center"/>
        </w:trPr>
        <w:tc>
          <w:tcPr>
            <w:tcW w:w="775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  <w:lastRenderedPageBreak/>
              <w:drawing>
                <wp:inline distT="0" distB="0" distL="0" distR="0">
                  <wp:extent cx="361950" cy="361950"/>
                  <wp:effectExtent l="19050" t="0" r="0" b="0"/>
                  <wp:docPr id="6" name="Рисунок 6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hyperlink r:id="rId9" w:history="1">
              <w:r>
                <w:rPr>
                  <w:rFonts w:ascii="Segoe UI" w:eastAsia="Times New Roman" w:hAnsi="Segoe UI" w:cs="Segoe UI"/>
                  <w:color w:val="0563C1" w:themeColor="hyperlink"/>
                  <w:sz w:val="24"/>
                  <w:szCs w:val="28"/>
                  <w:u w:val="single"/>
                  <w:lang w:eastAsia="ru-RU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563C1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8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>
        <w:trPr>
          <w:jc w:val="center"/>
        </w:trPr>
        <w:tc>
          <w:tcPr>
            <w:tcW w:w="775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4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10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r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  <w:t>https://twitter.com/Kadastr_Kuban</w:t>
            </w:r>
          </w:p>
        </w:tc>
        <w:tc>
          <w:tcPr>
            <w:tcW w:w="672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563C1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11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>
      <w:pPr>
        <w:spacing w:after="120" w:line="360" w:lineRule="auto"/>
        <w:ind w:firstLine="709"/>
        <w:jc w:val="both"/>
      </w:pPr>
    </w:p>
    <w:sectPr>
      <w:footerReference w:type="default" r:id="rId13"/>
      <w:pgSz w:w="11906" w:h="16838"/>
      <w:pgMar w:top="1134" w:right="567" w:bottom="1134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 xml:space="preserve">ул. </w:t>
    </w:r>
    <w:proofErr w:type="spellStart"/>
    <w:r>
      <w:rPr>
        <w:rFonts w:ascii="Times New Roman" w:hAnsi="Times New Roman"/>
        <w:sz w:val="20"/>
      </w:rPr>
      <w:t>Сормовская</w:t>
    </w:r>
    <w:proofErr w:type="spellEnd"/>
    <w:r>
      <w:rPr>
        <w:rFonts w:ascii="Times New Roman" w:hAnsi="Times New Roman"/>
        <w:sz w:val="20"/>
      </w:rPr>
      <w:t>, д. 3, 350018</w:t>
    </w:r>
  </w:p>
  <w:p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press23@23.kadastr.ru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1190E"/>
    <w:multiLevelType w:val="multilevel"/>
    <w:tmpl w:val="5A528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CD435F"/>
    <w:multiLevelType w:val="hybridMultilevel"/>
    <w:tmpl w:val="C1EC14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D0D0026-9A5B-4991-9BA4-A64604CC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</w:style>
  <w:style w:type="paragraph" w:styleId="af">
    <w:name w:val="footer"/>
    <w:basedOn w:val="a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</w:style>
  <w:style w:type="table" w:styleId="af1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963271">
          <w:marLeft w:val="0"/>
          <w:marRight w:val="0"/>
          <w:marTop w:val="0"/>
          <w:marBottom w:val="360"/>
          <w:divBdr>
            <w:top w:val="none" w:sz="0" w:space="0" w:color="auto"/>
            <w:left w:val="single" w:sz="48" w:space="18" w:color="0077BE"/>
            <w:bottom w:val="none" w:sz="0" w:space="0" w:color="auto"/>
            <w:right w:val="none" w:sz="0" w:space="0" w:color="auto"/>
          </w:divBdr>
          <w:divsChild>
            <w:div w:id="84594707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02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8289">
          <w:marLeft w:val="0"/>
          <w:marRight w:val="0"/>
          <w:marTop w:val="0"/>
          <w:marBottom w:val="360"/>
          <w:divBdr>
            <w:top w:val="none" w:sz="0" w:space="0" w:color="auto"/>
            <w:left w:val="single" w:sz="48" w:space="18" w:color="0077BE"/>
            <w:bottom w:val="none" w:sz="0" w:space="0" w:color="auto"/>
            <w:right w:val="none" w:sz="0" w:space="0" w:color="auto"/>
          </w:divBdr>
          <w:divsChild>
            <w:div w:id="69122588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41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mailto:press23@23.kadastr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Васильцов Никита Евгеньевич</dc:creator>
  <cp:keywords/>
  <dc:description/>
  <cp:lastModifiedBy>Назаренко Варвара Сергеевна</cp:lastModifiedBy>
  <cp:revision>25</cp:revision>
  <dcterms:created xsi:type="dcterms:W3CDTF">2021-07-30T12:29:00Z</dcterms:created>
  <dcterms:modified xsi:type="dcterms:W3CDTF">2021-10-20T13:09:00Z</dcterms:modified>
</cp:coreProperties>
</file>