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оформить дом в лесу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Что делать, если границы земельного участка пересекаются с территорией лесничества? Отвечают эксперты Кадастровой палаты Краснодарскому края.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С 2017 года действует так называемая «лесная амнистия» – система защиты прав собственников, чьи участки частично или полностью попадают на территорию лесных участок, лесничеств. «Лесная амнистия» упрощает устранение противоречий в сведениях Единого государственного реестра недвижимости (ЕГРН) и государственного лесного реестра (ГЛР) в пользу граждан.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Сведения ЕГРН имеют преимущество перед данными ГЛР и любых других реестров, поэтому правообладателям необходимо своевременно вносить актуальную информацию об объектах недвижимости, чтобы обезопасить себя и защитить свои права на недвижимое имущество.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Для применения «лесной амнистии» необходимо соблюдение следующих условий:</w:t>
      </w:r>
    </w:p>
    <w:p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при уточнении границ: </w:t>
      </w:r>
    </w:p>
    <w:p>
      <w:pPr>
        <w:numPr>
          <w:ilvl w:val="1"/>
          <w:numId w:val="4"/>
        </w:numPr>
        <w:spacing w:after="0" w:line="360" w:lineRule="auto"/>
        <w:ind w:left="709"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право частной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возникло до 1 января 2016 года и до даты внесения в ЕГРН границ лесного участка,</w:t>
      </w:r>
    </w:p>
    <w:p>
      <w:pPr>
        <w:numPr>
          <w:ilvl w:val="1"/>
          <w:numId w:val="4"/>
        </w:numPr>
        <w:spacing w:after="0" w:line="360" w:lineRule="auto"/>
        <w:ind w:left="709"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земельный участок был предоставлен гражданину до 8 августа 2008 года (или образован из предоставленного до 8 августа 2008 СНТ, ОНТ или ДНТ либо организации, при которой было создано объединение) для ведения садоводства, огородничества, дачного хозяйства, личного подсобного хозяйства или индивидуального жилищного строительства;</w:t>
      </w:r>
    </w:p>
    <w:p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при образовании нового участка – право на объект недвижимости, расположенный на участке, возникло до 1 января 2016 года и зарегистрировано в ЕГРН.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Не важно, менялся ли собственник обекта недвижимости после указанной в каждом пункте даты, данные условия остаются действительными.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Однако «лесная амнистия» не может применяться к землям, относящимся к зонам особо охраняемых природных территорий, объектов культурного наследия, а также землям промышленности, на которых отсутствуют объекты недвижимости, и сельскохозяйственного назначения, которые используются с нарушением законодательства, или не используемые вовсе.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i/>
          <w:sz w:val="28"/>
        </w:rPr>
        <w:t>«Гражданин может самостоятельно выявить пересечение границ земельного участка с территорией леса, запросив выписку из ЕГРН об объекте недвижимости. Однако, пересечение будет указано только при наличии в ЕГРН сведений о местоположении границ земельного участка и участка лесного фонда. Если границы не внесены в ЕГРН, пересечение можно выявить при проведении кадастровых работ,»</w:t>
      </w:r>
      <w:r>
        <w:rPr>
          <w:rFonts w:ascii="Times New Roman" w:hAnsi="Times New Roman" w:cs="Times New Roman"/>
          <w:bCs/>
          <w:sz w:val="28"/>
        </w:rPr>
        <w:t xml:space="preserve"> –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отметил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начальник о</w:t>
      </w: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тдела обработки документов и обеспечения учетных действий №1 Кадастровой палаты по Краснодарскому краю Игорь Максименко.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Чтобы узнать, пересекается ли участок с территорией леса, можно заказать выписку из ЕГРН «Об объекте недвижимости» любым удобным способом:</w:t>
      </w:r>
    </w:p>
    <w:p>
      <w:pPr>
        <w:numPr>
          <w:ilvl w:val="0"/>
          <w:numId w:val="5"/>
        </w:numPr>
        <w:spacing w:after="120"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в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бумажном виде в любом офисе МФЦ;</w:t>
      </w:r>
    </w:p>
    <w:p>
      <w:pPr>
        <w:numPr>
          <w:ilvl w:val="0"/>
          <w:numId w:val="5"/>
        </w:numPr>
        <w:spacing w:after="120"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в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электронной форме на сайте </w:t>
      </w:r>
      <w:hyperlink r:id="rId8" w:history="1">
        <w:r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Федеральной кадастровой палаты Росреестра</w:t>
        </w:r>
      </w:hyperlink>
      <w:r>
        <w:rPr>
          <w:rFonts w:ascii="Times New Roman" w:hAnsi="Times New Roman" w:cs="Times New Roman"/>
          <w:bCs/>
          <w:sz w:val="28"/>
        </w:rPr>
        <w:t xml:space="preserve"> (kadastr.ru) с помощью онлайн-сервиса </w:t>
      </w:r>
      <w:hyperlink r:id="rId9" w:history="1">
        <w:r>
          <w:rPr>
            <w:rFonts w:ascii="Times New Roman" w:hAnsi="Times New Roman" w:cs="Times New Roman"/>
            <w:bCs/>
            <w:sz w:val="28"/>
          </w:rPr>
          <w:t>«</w:t>
        </w:r>
        <w:r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Заказ выписок из ЕГРН</w:t>
        </w:r>
        <w:r>
          <w:rPr>
            <w:rFonts w:ascii="Times New Roman" w:hAnsi="Times New Roman" w:cs="Times New Roman"/>
            <w:bCs/>
            <w:sz w:val="28"/>
          </w:rPr>
          <w:t>»</w:t>
        </w:r>
      </w:hyperlink>
      <w:r>
        <w:rPr>
          <w:rFonts w:ascii="Times New Roman" w:hAnsi="Times New Roman" w:cs="Times New Roman"/>
          <w:bCs/>
          <w:sz w:val="28"/>
        </w:rPr>
        <w:t>;</w:t>
      </w:r>
    </w:p>
    <w:p>
      <w:pPr>
        <w:numPr>
          <w:ilvl w:val="0"/>
          <w:numId w:val="5"/>
        </w:numPr>
        <w:spacing w:after="120"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на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сайте </w:t>
      </w:r>
      <w:hyperlink r:id="rId10" w:history="1">
        <w:r>
          <w:rPr>
            <w:rFonts w:ascii="Times New Roman" w:hAnsi="Times New Roman" w:cs="Times New Roman"/>
            <w:bCs/>
            <w:color w:val="0563C1" w:themeColor="hyperlink"/>
            <w:sz w:val="28"/>
            <w:u w:val="single"/>
          </w:rPr>
          <w:t>Росреестра</w:t>
        </w:r>
      </w:hyperlink>
      <w:r>
        <w:rPr>
          <w:rFonts w:ascii="Times New Roman" w:hAnsi="Times New Roman" w:cs="Times New Roman"/>
          <w:bCs/>
          <w:sz w:val="28"/>
        </w:rPr>
        <w:t xml:space="preserve"> (rosreestr.gov.ru) в «</w:t>
      </w:r>
      <w:hyperlink r:id="rId11" w:history="1">
        <w:r>
          <w:rPr>
            <w:rFonts w:ascii="Times New Roman" w:hAnsi="Times New Roman" w:cs="Times New Roman"/>
            <w:bCs/>
            <w:color w:val="0563C1" w:themeColor="hyperlink"/>
            <w:sz w:val="28"/>
            <w:u w:val="single"/>
          </w:rPr>
          <w:t>Личном кабинете</w:t>
        </w:r>
      </w:hyperlink>
      <w:r>
        <w:rPr>
          <w:rFonts w:ascii="Times New Roman" w:hAnsi="Times New Roman" w:cs="Times New Roman"/>
          <w:bCs/>
          <w:sz w:val="28"/>
        </w:rPr>
        <w:t>»;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Также бумажную выписку можно заказать не выходя из дома, заказав </w:t>
      </w:r>
      <w:hyperlink r:id="rId12" w:history="1">
        <w:r>
          <w:rPr>
            <w:rFonts w:ascii="Times New Roman" w:hAnsi="Times New Roman" w:cs="Times New Roman"/>
            <w:bCs/>
            <w:color w:val="0563C1" w:themeColor="hyperlink"/>
            <w:sz w:val="28"/>
            <w:u w:val="single"/>
          </w:rPr>
          <w:t>выездное обслуживание</w:t>
        </w:r>
      </w:hyperlink>
      <w:r>
        <w:rPr>
          <w:rFonts w:ascii="Times New Roman" w:hAnsi="Times New Roman" w:cs="Times New Roman"/>
          <w:bCs/>
          <w:sz w:val="28"/>
        </w:rPr>
        <w:t xml:space="preserve"> Кадастровой палаты, по телефону 8 (861) 992-13-02, (доб. 2060 или 2061) либо по электронной почте </w:t>
      </w:r>
      <w:hyperlink r:id="rId13" w:history="1">
        <w:r>
          <w:rPr>
            <w:rFonts w:ascii="Times New Roman" w:hAnsi="Times New Roman" w:cs="Times New Roman"/>
            <w:bCs/>
            <w:color w:val="0563C1" w:themeColor="hyperlink"/>
            <w:sz w:val="28"/>
            <w:u w:val="single"/>
          </w:rPr>
          <w:t>uslugi-pay@23.kadastr.ru</w:t>
        </w:r>
      </w:hyperlink>
      <w:r>
        <w:rPr>
          <w:rFonts w:ascii="Times New Roman" w:hAnsi="Times New Roman" w:cs="Times New Roman"/>
          <w:bCs/>
          <w:sz w:val="28"/>
        </w:rPr>
        <w:t>.</w:t>
      </w:r>
    </w:p>
    <w:p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lastRenderedPageBreak/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5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</w:pPr>
    </w:p>
    <w:sectPr>
      <w:footerReference w:type="default" r:id="rId19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1190E"/>
    <w:multiLevelType w:val="multilevel"/>
    <w:tmpl w:val="5A5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AA1892"/>
    <w:multiLevelType w:val="hybridMultilevel"/>
    <w:tmpl w:val="9FA04A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FD65DF8"/>
    <w:multiLevelType w:val="hybridMultilevel"/>
    <w:tmpl w:val="A10CC7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CDC63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035105C"/>
    <w:multiLevelType w:val="hybridMultilevel"/>
    <w:tmpl w:val="891681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table" w:styleId="af1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13" Type="http://schemas.openxmlformats.org/officeDocument/2006/relationships/hyperlink" Target="mailto:uslugi-pay@23.kadastr.ru" TargetMode="External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kadastr.ru/services/vyezdnoe-obsluzhivanie/" TargetMode="Externa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k.rosreestr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press23@23.kadastr.ru" TargetMode="External"/><Relationship Id="rId10" Type="http://schemas.openxmlformats.org/officeDocument/2006/relationships/hyperlink" Target="https://rosreestr.gov.ru/site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pv.kadastr.ru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53</cp:revision>
  <dcterms:created xsi:type="dcterms:W3CDTF">2021-07-30T12:29:00Z</dcterms:created>
  <dcterms:modified xsi:type="dcterms:W3CDTF">2021-12-01T09:25:00Z</dcterms:modified>
</cp:coreProperties>
</file>